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2C" w:rsidRDefault="00C429C2">
      <w:pPr>
        <w:spacing w:line="240" w:lineRule="auto"/>
        <w:jc w:val="both"/>
        <w:rPr>
          <w:rFonts w:asciiTheme="minorHAnsi" w:hAnsiTheme="minorHAnsi" w:cstheme="minorHAnsi"/>
          <w:b/>
          <w:szCs w:val="24"/>
          <w:u w:val="single"/>
        </w:rPr>
      </w:pPr>
      <w:bookmarkStart w:id="0" w:name="_GoBack"/>
      <w:bookmarkEnd w:id="0"/>
      <w:r>
        <w:rPr>
          <w:rFonts w:asciiTheme="minorHAnsi" w:hAnsiTheme="minorHAnsi" w:cstheme="minorHAnsi"/>
          <w:b/>
          <w:szCs w:val="24"/>
          <w:u w:val="single"/>
        </w:rPr>
        <w:t>CONVENTION ENTRE LA MAISON MÉDICALE ET LE MÉDECIN GÉNÉRALISTE RELATIVE AU VERSEMENT DE L’INTERVENTION POUR UNE INSTALLATION EN TANT QUE MÉDECIN GÉNÉRALISTE SUR LE COMPTE DE LA MAISON MÉDICALE QUI EMPLOIE CE DERNIER.</w:t>
      </w:r>
    </w:p>
    <w:p w:rsidR="00001C2C" w:rsidRDefault="00001C2C">
      <w:pPr>
        <w:spacing w:line="240" w:lineRule="auto"/>
        <w:jc w:val="both"/>
        <w:rPr>
          <w:rFonts w:asciiTheme="minorHAnsi" w:hAnsiTheme="minorHAnsi" w:cstheme="minorHAnsi"/>
          <w:szCs w:val="24"/>
        </w:rPr>
      </w:pP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Entre :</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 xml:space="preserve">Maison </w:t>
      </w:r>
      <w:r>
        <w:rPr>
          <w:rFonts w:asciiTheme="minorHAnsi" w:hAnsiTheme="minorHAnsi" w:cstheme="minorHAnsi"/>
          <w:szCs w:val="24"/>
        </w:rPr>
        <w:t>médicale….................................................................................</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Ayant son siège social à .....................................................................</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 xml:space="preserve">Représenté par </w:t>
      </w:r>
      <w:proofErr w:type="gramStart"/>
      <w:r>
        <w:rPr>
          <w:rFonts w:asciiTheme="minorHAnsi" w:hAnsiTheme="minorHAnsi" w:cstheme="minorHAnsi"/>
          <w:szCs w:val="24"/>
        </w:rPr>
        <w:t>.....................................................</w:t>
      </w:r>
      <w:r>
        <w:rPr>
          <w:rFonts w:asciiTheme="minorHAnsi" w:hAnsiTheme="minorHAnsi" w:cstheme="minorHAnsi"/>
          <w:szCs w:val="24"/>
        </w:rPr>
        <w:t>............. ,président</w:t>
      </w:r>
      <w:proofErr w:type="gramEnd"/>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Ci-après qualifié: l'employeur,</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D'une part</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Et</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Monsieur / Madame ..................................................., médecin généraliste</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Résidant à ...............................................................</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Ci-après quali</w:t>
      </w:r>
      <w:r>
        <w:rPr>
          <w:rFonts w:asciiTheme="minorHAnsi" w:hAnsiTheme="minorHAnsi" w:cstheme="minorHAnsi"/>
          <w:szCs w:val="24"/>
        </w:rPr>
        <w:t>fié: l'employé,</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t xml:space="preserve">D'autre part </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ab/>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1</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La présente convention vise à fixer les modalités de remboursement de l’intervention visée à l’article 4 de l'arrêté royal du 23 mars 2012 portant création d'un Fonds d'impulsion pour la médecine générale et fix</w:t>
      </w:r>
      <w:r>
        <w:rPr>
          <w:rFonts w:asciiTheme="minorHAnsi" w:hAnsiTheme="minorHAnsi" w:cstheme="minorHAnsi"/>
          <w:szCs w:val="24"/>
        </w:rPr>
        <w:t xml:space="preserve">ant ses modalités de fonctionnement dans le cas où l’employé cesse son activité de médecin généraliste ou modifie son lieu d’installation dans les 5 ans qui suivent sa date d’installation.   </w:t>
      </w:r>
    </w:p>
    <w:p w:rsidR="00001C2C" w:rsidRDefault="00001C2C">
      <w:pPr>
        <w:spacing w:line="240" w:lineRule="auto"/>
        <w:jc w:val="both"/>
        <w:rPr>
          <w:rFonts w:asciiTheme="minorHAnsi" w:hAnsiTheme="minorHAnsi" w:cstheme="minorHAnsi"/>
          <w:b/>
          <w:szCs w:val="24"/>
          <w:u w:val="single"/>
        </w:rPr>
      </w:pPr>
    </w:p>
    <w:p w:rsidR="00001C2C" w:rsidRDefault="00001C2C">
      <w:pPr>
        <w:spacing w:line="240" w:lineRule="auto"/>
        <w:jc w:val="both"/>
        <w:rPr>
          <w:rFonts w:asciiTheme="minorHAnsi" w:hAnsiTheme="minorHAnsi" w:cstheme="minorHAnsi"/>
          <w:b/>
          <w:szCs w:val="24"/>
          <w:u w:val="single"/>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2</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Dans la présente convention, les termes utilisés do</w:t>
      </w:r>
      <w:r>
        <w:rPr>
          <w:rFonts w:asciiTheme="minorHAnsi" w:hAnsiTheme="minorHAnsi" w:cstheme="minorHAnsi"/>
          <w:szCs w:val="24"/>
        </w:rPr>
        <w:t xml:space="preserve">ivent être compris au sens qui leur est donné dans l’arrêté royal du 23 mars 2012 portant création d'un Fonds d'impulsion pour la médecine générale et fixant ses modalités de fonctionnement. </w:t>
      </w:r>
    </w:p>
    <w:p w:rsidR="00001C2C" w:rsidRDefault="00001C2C">
      <w:pPr>
        <w:spacing w:line="240" w:lineRule="auto"/>
        <w:jc w:val="both"/>
        <w:rPr>
          <w:rFonts w:asciiTheme="minorHAnsi" w:hAnsiTheme="minorHAnsi" w:cstheme="minorHAnsi"/>
          <w:b/>
          <w:szCs w:val="24"/>
          <w:u w:val="single"/>
        </w:rPr>
      </w:pPr>
    </w:p>
    <w:p w:rsidR="00001C2C" w:rsidRDefault="00001C2C">
      <w:pPr>
        <w:spacing w:line="240" w:lineRule="auto"/>
        <w:jc w:val="both"/>
        <w:rPr>
          <w:rFonts w:asciiTheme="minorHAnsi" w:hAnsiTheme="minorHAnsi" w:cstheme="minorHAnsi"/>
          <w:b/>
          <w:szCs w:val="24"/>
          <w:u w:val="single"/>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3</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 xml:space="preserve">Dans le cas où l'employé </w:t>
      </w:r>
      <w:r>
        <w:rPr>
          <w:rFonts w:asciiTheme="minorHAnsi" w:hAnsiTheme="minorHAnsi" w:cstheme="minorHAnsi"/>
          <w:b/>
          <w:szCs w:val="24"/>
          <w:u w:val="single"/>
        </w:rPr>
        <w:t xml:space="preserve">met un terme à son </w:t>
      </w:r>
      <w:r>
        <w:rPr>
          <w:rFonts w:asciiTheme="minorHAnsi" w:hAnsiTheme="minorHAnsi" w:cstheme="minorHAnsi"/>
          <w:b/>
          <w:szCs w:val="24"/>
          <w:u w:val="single"/>
        </w:rPr>
        <w:t>activité chez l'employeur sans s'établir ailleurs</w:t>
      </w:r>
      <w:r>
        <w:rPr>
          <w:rFonts w:asciiTheme="minorHAnsi" w:hAnsiTheme="minorHAnsi" w:cstheme="minorHAnsi"/>
          <w:szCs w:val="24"/>
        </w:rPr>
        <w:t xml:space="preserve"> au cours des 5 années qui suivent sa date d'installation, l'employeur se charge du remboursement de la partie de la prime redevable à la Commission communautaire commune selon les modalités prévues à l’arti</w:t>
      </w:r>
      <w:r>
        <w:rPr>
          <w:rFonts w:asciiTheme="minorHAnsi" w:hAnsiTheme="minorHAnsi" w:cstheme="minorHAnsi"/>
          <w:szCs w:val="24"/>
        </w:rPr>
        <w:t>cle 6, § 3 de l’arrêté royal du 23 mars 2012.</w:t>
      </w:r>
    </w:p>
    <w:p w:rsidR="00001C2C" w:rsidRDefault="00001C2C">
      <w:pPr>
        <w:spacing w:line="240" w:lineRule="auto"/>
        <w:jc w:val="both"/>
        <w:rPr>
          <w:rFonts w:asciiTheme="minorHAnsi" w:hAnsiTheme="minorHAnsi" w:cstheme="minorHAnsi"/>
          <w:b/>
          <w:szCs w:val="24"/>
          <w:u w:val="single"/>
        </w:rPr>
      </w:pPr>
    </w:p>
    <w:p w:rsidR="00001C2C" w:rsidRDefault="00001C2C">
      <w:pPr>
        <w:spacing w:line="240" w:lineRule="auto"/>
        <w:jc w:val="both"/>
        <w:rPr>
          <w:rFonts w:asciiTheme="minorHAnsi" w:hAnsiTheme="minorHAnsi" w:cstheme="minorHAnsi"/>
          <w:b/>
          <w:szCs w:val="24"/>
          <w:u w:val="single"/>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4</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 xml:space="preserve">Dans le cas où l'employé </w:t>
      </w:r>
      <w:r>
        <w:rPr>
          <w:rFonts w:asciiTheme="minorHAnsi" w:hAnsiTheme="minorHAnsi" w:cstheme="minorHAnsi"/>
          <w:b/>
          <w:szCs w:val="24"/>
          <w:u w:val="single"/>
        </w:rPr>
        <w:t>met un terme à son activité chez l'employeur et s'installe en dehors de la région bilingue de Bruxelles-Capitale</w:t>
      </w:r>
      <w:r>
        <w:rPr>
          <w:rFonts w:asciiTheme="minorHAnsi" w:hAnsiTheme="minorHAnsi" w:cstheme="minorHAnsi"/>
          <w:szCs w:val="24"/>
        </w:rPr>
        <w:t xml:space="preserve"> au cours des 5 années qui suivent sa date d'installation, l</w:t>
      </w:r>
      <w:r>
        <w:rPr>
          <w:rFonts w:asciiTheme="minorHAnsi" w:hAnsiTheme="minorHAnsi" w:cstheme="minorHAnsi"/>
          <w:szCs w:val="24"/>
        </w:rPr>
        <w:t>'employeur se charge du remboursement de la partie de la prime redevable à la Commission communautaire commune selon les modalités prévues à l’article 6, § 3, de l’arrêté royal du 23 mars 2012</w:t>
      </w:r>
      <w:r>
        <w:rPr>
          <w:rFonts w:asciiTheme="minorHAnsi" w:hAnsiTheme="minorHAnsi" w:cstheme="minorHAnsi"/>
          <w:i/>
          <w:szCs w:val="24"/>
        </w:rPr>
        <w:t>.</w:t>
      </w: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 xml:space="preserve"> </w:t>
      </w:r>
    </w:p>
    <w:p w:rsidR="00001C2C" w:rsidRDefault="00001C2C">
      <w:pPr>
        <w:spacing w:line="240" w:lineRule="auto"/>
        <w:jc w:val="both"/>
        <w:rPr>
          <w:rFonts w:asciiTheme="minorHAnsi" w:hAnsiTheme="minorHAnsi" w:cstheme="minorHAnsi"/>
          <w:b/>
          <w:szCs w:val="24"/>
          <w:u w:val="single"/>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5</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 xml:space="preserve">Dans le cas où l’employé </w:t>
      </w:r>
      <w:r>
        <w:rPr>
          <w:rFonts w:asciiTheme="minorHAnsi" w:hAnsiTheme="minorHAnsi" w:cstheme="minorHAnsi"/>
          <w:b/>
          <w:szCs w:val="24"/>
          <w:u w:val="single"/>
        </w:rPr>
        <w:t>met un terme à son acti</w:t>
      </w:r>
      <w:r>
        <w:rPr>
          <w:rFonts w:asciiTheme="minorHAnsi" w:hAnsiTheme="minorHAnsi" w:cstheme="minorHAnsi"/>
          <w:b/>
          <w:szCs w:val="24"/>
          <w:u w:val="single"/>
        </w:rPr>
        <w:t>vité chez l'employeur et déplace l’exercice de son activité dans un autre lieu d’installation se situant sur le territoire de la région bilingue de Bruxelles-Capitale</w:t>
      </w:r>
      <w:r>
        <w:rPr>
          <w:rFonts w:asciiTheme="minorHAnsi" w:hAnsiTheme="minorHAnsi" w:cstheme="minorHAnsi"/>
          <w:szCs w:val="24"/>
        </w:rPr>
        <w:t xml:space="preserve"> au cours des 5 années qui suivent sa date d'installation, l'employeur verse la partie de </w:t>
      </w:r>
      <w:r>
        <w:rPr>
          <w:rFonts w:asciiTheme="minorHAnsi" w:hAnsiTheme="minorHAnsi" w:cstheme="minorHAnsi"/>
          <w:szCs w:val="24"/>
        </w:rPr>
        <w:t xml:space="preserve">l'intervention à l’employé, au prorata du nombre d'année(s) complète(s) correspondant, non encore commencée(s) correspondant à la période durant laquelle l’employé n’exerce plus son activité chez l’employeur. </w:t>
      </w:r>
    </w:p>
    <w:p w:rsidR="00001C2C" w:rsidRDefault="00001C2C">
      <w:pPr>
        <w:spacing w:line="240" w:lineRule="auto"/>
        <w:jc w:val="both"/>
        <w:rPr>
          <w:rFonts w:asciiTheme="minorHAnsi" w:hAnsiTheme="minorHAnsi" w:cstheme="minorHAnsi"/>
          <w:b/>
          <w:szCs w:val="24"/>
          <w:u w:val="single"/>
        </w:rPr>
      </w:pPr>
    </w:p>
    <w:p w:rsidR="00001C2C" w:rsidRDefault="00001C2C">
      <w:pPr>
        <w:spacing w:line="240" w:lineRule="auto"/>
        <w:jc w:val="both"/>
        <w:rPr>
          <w:rFonts w:asciiTheme="minorHAnsi" w:hAnsiTheme="minorHAnsi" w:cstheme="minorHAnsi"/>
          <w:b/>
          <w:szCs w:val="24"/>
          <w:u w:val="single"/>
        </w:rPr>
      </w:pPr>
    </w:p>
    <w:p w:rsidR="00001C2C" w:rsidRDefault="00C429C2">
      <w:pPr>
        <w:spacing w:line="240" w:lineRule="auto"/>
        <w:jc w:val="both"/>
        <w:rPr>
          <w:rFonts w:asciiTheme="minorHAnsi" w:hAnsiTheme="minorHAnsi" w:cstheme="minorHAnsi"/>
          <w:b/>
          <w:szCs w:val="24"/>
          <w:u w:val="single"/>
        </w:rPr>
      </w:pPr>
      <w:r>
        <w:rPr>
          <w:rFonts w:asciiTheme="minorHAnsi" w:hAnsiTheme="minorHAnsi" w:cstheme="minorHAnsi"/>
          <w:b/>
          <w:szCs w:val="24"/>
          <w:u w:val="single"/>
        </w:rPr>
        <w:t>Article 6</w:t>
      </w:r>
    </w:p>
    <w:p w:rsidR="00001C2C" w:rsidRDefault="00001C2C">
      <w:pPr>
        <w:spacing w:line="240" w:lineRule="auto"/>
        <w:jc w:val="both"/>
        <w:rPr>
          <w:rFonts w:asciiTheme="minorHAnsi" w:hAnsiTheme="minorHAnsi" w:cstheme="minorHAnsi"/>
          <w:szCs w:val="24"/>
        </w:rPr>
      </w:pPr>
    </w:p>
    <w:p w:rsidR="00001C2C" w:rsidRDefault="00C429C2">
      <w:pPr>
        <w:spacing w:line="240" w:lineRule="auto"/>
        <w:jc w:val="both"/>
        <w:rPr>
          <w:rFonts w:asciiTheme="minorHAnsi" w:hAnsiTheme="minorHAnsi" w:cstheme="minorHAnsi"/>
          <w:szCs w:val="24"/>
        </w:rPr>
      </w:pPr>
      <w:r>
        <w:rPr>
          <w:rFonts w:asciiTheme="minorHAnsi" w:hAnsiTheme="minorHAnsi" w:cstheme="minorHAnsi"/>
          <w:szCs w:val="24"/>
        </w:rPr>
        <w:t>Dans les cas visés aux articles 3</w:t>
      </w:r>
      <w:r>
        <w:rPr>
          <w:rFonts w:asciiTheme="minorHAnsi" w:hAnsiTheme="minorHAnsi" w:cstheme="minorHAnsi"/>
          <w:szCs w:val="24"/>
        </w:rPr>
        <w:t xml:space="preserve"> à 5, l’employeur et l’employé s'engagent à informer la Commission communautaire commune de la cessation d’activité ou du changement de lieu d’installation de l’employé. </w:t>
      </w:r>
    </w:p>
    <w:p w:rsidR="00001C2C" w:rsidRDefault="00001C2C">
      <w:pPr>
        <w:spacing w:line="240" w:lineRule="auto"/>
        <w:jc w:val="both"/>
        <w:rPr>
          <w:rFonts w:asciiTheme="minorHAnsi" w:hAnsiTheme="minorHAnsi" w:cstheme="minorHAnsi"/>
          <w:szCs w:val="24"/>
        </w:rPr>
      </w:pPr>
    </w:p>
    <w:p w:rsidR="00001C2C" w:rsidRDefault="00C429C2">
      <w:pPr>
        <w:pStyle w:val="Paragraphedeliste"/>
        <w:spacing w:line="240" w:lineRule="auto"/>
        <w:ind w:left="0"/>
        <w:jc w:val="both"/>
        <w:rPr>
          <w:rFonts w:asciiTheme="minorHAnsi" w:hAnsiTheme="minorHAnsi" w:cstheme="minorHAnsi"/>
          <w:szCs w:val="24"/>
        </w:rPr>
      </w:pPr>
      <w:r>
        <w:rPr>
          <w:rFonts w:asciiTheme="minorHAnsi" w:hAnsiTheme="minorHAnsi" w:cstheme="minorHAnsi"/>
          <w:szCs w:val="24"/>
        </w:rPr>
        <w:t xml:space="preserve">Fait le ..., à ... en ... exemplaires, chacune des parties reconnaissant avoir reçu </w:t>
      </w:r>
      <w:r>
        <w:rPr>
          <w:rFonts w:asciiTheme="minorHAnsi" w:hAnsiTheme="minorHAnsi" w:cstheme="minorHAnsi"/>
          <w:szCs w:val="24"/>
        </w:rPr>
        <w:t>un original.</w:t>
      </w:r>
    </w:p>
    <w:p w:rsidR="00001C2C" w:rsidRDefault="00001C2C">
      <w:pPr>
        <w:pStyle w:val="Paragraphedeliste"/>
        <w:spacing w:line="240" w:lineRule="auto"/>
        <w:ind w:left="0"/>
        <w:jc w:val="both"/>
        <w:rPr>
          <w:rFonts w:asciiTheme="minorHAnsi" w:hAnsiTheme="minorHAnsi" w:cstheme="minorHAnsi"/>
          <w:szCs w:val="24"/>
        </w:rPr>
      </w:pPr>
    </w:p>
    <w:p w:rsidR="00001C2C" w:rsidRDefault="00001C2C">
      <w:pPr>
        <w:pStyle w:val="Paragraphedeliste"/>
        <w:spacing w:line="240" w:lineRule="auto"/>
        <w:ind w:left="0"/>
        <w:jc w:val="both"/>
        <w:rPr>
          <w:rFonts w:asciiTheme="minorHAnsi" w:hAnsiTheme="minorHAnsi" w:cstheme="minorHAnsi"/>
          <w:szCs w:val="24"/>
        </w:rPr>
      </w:pPr>
    </w:p>
    <w:p w:rsidR="00001C2C" w:rsidRDefault="00C429C2">
      <w:pPr>
        <w:pStyle w:val="Paragraphedeliste"/>
        <w:spacing w:line="240" w:lineRule="auto"/>
        <w:ind w:left="0"/>
        <w:jc w:val="both"/>
        <w:rPr>
          <w:rFonts w:asciiTheme="minorHAnsi" w:hAnsiTheme="minorHAnsi" w:cstheme="minorHAnsi"/>
          <w:szCs w:val="24"/>
        </w:rPr>
      </w:pPr>
      <w:r>
        <w:rPr>
          <w:rFonts w:asciiTheme="minorHAnsi" w:hAnsiTheme="minorHAnsi" w:cstheme="minorHAnsi"/>
          <w:szCs w:val="24"/>
        </w:rPr>
        <w:t>Pour l'employeur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Pour l'employé</w:t>
      </w:r>
    </w:p>
    <w:p w:rsidR="00001C2C" w:rsidRDefault="00C429C2">
      <w:pPr>
        <w:pStyle w:val="Paragraphedeliste"/>
        <w:spacing w:line="240" w:lineRule="auto"/>
        <w:ind w:left="0"/>
        <w:jc w:val="both"/>
        <w:rPr>
          <w:rFonts w:asciiTheme="minorHAnsi" w:hAnsiTheme="minorHAnsi" w:cstheme="minorHAnsi"/>
          <w:szCs w:val="24"/>
        </w:rPr>
      </w:pPr>
      <w:r>
        <w:rPr>
          <w:rFonts w:asciiTheme="minorHAnsi" w:hAnsiTheme="minorHAnsi" w:cstheme="minorHAnsi"/>
          <w:szCs w:val="24"/>
        </w:rPr>
        <w:t>Maison médicale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Médecin généraliste</w:t>
      </w:r>
    </w:p>
    <w:sectPr w:rsidR="00001C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2C" w:rsidRDefault="00C429C2">
      <w:pPr>
        <w:spacing w:line="240" w:lineRule="auto"/>
      </w:pPr>
      <w:r>
        <w:separator/>
      </w:r>
    </w:p>
  </w:endnote>
  <w:endnote w:type="continuationSeparator" w:id="0">
    <w:p w:rsidR="00001C2C" w:rsidRDefault="00C42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2C" w:rsidRDefault="00C429C2">
      <w:pPr>
        <w:spacing w:line="240" w:lineRule="auto"/>
      </w:pPr>
      <w:r>
        <w:separator/>
      </w:r>
    </w:p>
  </w:footnote>
  <w:footnote w:type="continuationSeparator" w:id="0">
    <w:p w:rsidR="00001C2C" w:rsidRDefault="00C42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2C" w:rsidRDefault="00001C2C">
    <w:pPr>
      <w:pStyle w:val="En-tte"/>
      <w:ind w:left="-426" w:hanging="141"/>
      <w:rPr>
        <w:sz w:val="18"/>
      </w:rPr>
    </w:pPr>
  </w:p>
  <w:p w:rsidR="00001C2C" w:rsidRDefault="00001C2C">
    <w:pPr>
      <w:pStyle w:val="En-tte"/>
      <w:ind w:left="-426" w:hanging="141"/>
      <w:rPr>
        <w:sz w:val="18"/>
      </w:rPr>
    </w:pPr>
  </w:p>
  <w:p w:rsidR="00001C2C" w:rsidRDefault="00001C2C">
    <w:pPr>
      <w:pStyle w:val="En-tte"/>
      <w:ind w:left="-426" w:hanging="141"/>
      <w:rPr>
        <w:sz w:val="18"/>
      </w:rPr>
    </w:pPr>
  </w:p>
  <w:p w:rsidR="00001C2C" w:rsidRDefault="00001C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E62F1"/>
    <w:multiLevelType w:val="hybridMultilevel"/>
    <w:tmpl w:val="FA22A56C"/>
    <w:lvl w:ilvl="0" w:tplc="72488F72">
      <w:start w:val="1"/>
      <w:numFmt w:val="decimal"/>
      <w:lvlText w:val="%1."/>
      <w:lvlJc w:val="left"/>
      <w:pPr>
        <w:ind w:left="720" w:hanging="360"/>
      </w:pPr>
      <w:rPr>
        <w:rFonts w:hint="default"/>
      </w:rPr>
    </w:lvl>
    <w:lvl w:ilvl="1" w:tplc="6C1E4554" w:tentative="1">
      <w:start w:val="1"/>
      <w:numFmt w:val="lowerLetter"/>
      <w:lvlText w:val="%2."/>
      <w:lvlJc w:val="left"/>
      <w:pPr>
        <w:ind w:left="1440" w:hanging="360"/>
      </w:pPr>
    </w:lvl>
    <w:lvl w:ilvl="2" w:tplc="26F859DE" w:tentative="1">
      <w:start w:val="1"/>
      <w:numFmt w:val="lowerRoman"/>
      <w:lvlText w:val="%3."/>
      <w:lvlJc w:val="right"/>
      <w:pPr>
        <w:ind w:left="2160" w:hanging="180"/>
      </w:pPr>
    </w:lvl>
    <w:lvl w:ilvl="3" w:tplc="13AC0B90" w:tentative="1">
      <w:start w:val="1"/>
      <w:numFmt w:val="decimal"/>
      <w:lvlText w:val="%4."/>
      <w:lvlJc w:val="left"/>
      <w:pPr>
        <w:ind w:left="2880" w:hanging="360"/>
      </w:pPr>
    </w:lvl>
    <w:lvl w:ilvl="4" w:tplc="DF4AD29A" w:tentative="1">
      <w:start w:val="1"/>
      <w:numFmt w:val="lowerLetter"/>
      <w:lvlText w:val="%5."/>
      <w:lvlJc w:val="left"/>
      <w:pPr>
        <w:ind w:left="3600" w:hanging="360"/>
      </w:pPr>
    </w:lvl>
    <w:lvl w:ilvl="5" w:tplc="E1BA2EBA" w:tentative="1">
      <w:start w:val="1"/>
      <w:numFmt w:val="lowerRoman"/>
      <w:lvlText w:val="%6."/>
      <w:lvlJc w:val="right"/>
      <w:pPr>
        <w:ind w:left="4320" w:hanging="180"/>
      </w:pPr>
    </w:lvl>
    <w:lvl w:ilvl="6" w:tplc="02F49AEE" w:tentative="1">
      <w:start w:val="1"/>
      <w:numFmt w:val="decimal"/>
      <w:lvlText w:val="%7."/>
      <w:lvlJc w:val="left"/>
      <w:pPr>
        <w:ind w:left="5040" w:hanging="360"/>
      </w:pPr>
    </w:lvl>
    <w:lvl w:ilvl="7" w:tplc="3C7E22AC" w:tentative="1">
      <w:start w:val="1"/>
      <w:numFmt w:val="lowerLetter"/>
      <w:lvlText w:val="%8."/>
      <w:lvlJc w:val="left"/>
      <w:pPr>
        <w:ind w:left="5760" w:hanging="360"/>
      </w:pPr>
    </w:lvl>
    <w:lvl w:ilvl="8" w:tplc="8E2A427E" w:tentative="1">
      <w:start w:val="1"/>
      <w:numFmt w:val="lowerRoman"/>
      <w:lvlText w:val="%9."/>
      <w:lvlJc w:val="right"/>
      <w:pPr>
        <w:ind w:left="6480" w:hanging="180"/>
      </w:pPr>
    </w:lvl>
  </w:abstractNum>
  <w:abstractNum w:abstractNumId="1" w15:restartNumberingAfterBreak="0">
    <w:nsid w:val="54BE3805"/>
    <w:multiLevelType w:val="hybridMultilevel"/>
    <w:tmpl w:val="2DCC3618"/>
    <w:lvl w:ilvl="0" w:tplc="3F4A7B82">
      <w:start w:val="1"/>
      <w:numFmt w:val="decimal"/>
      <w:lvlText w:val="%1."/>
      <w:lvlJc w:val="left"/>
      <w:pPr>
        <w:ind w:left="720" w:hanging="360"/>
      </w:pPr>
      <w:rPr>
        <w:rFonts w:hint="default"/>
      </w:rPr>
    </w:lvl>
    <w:lvl w:ilvl="1" w:tplc="9F2E2AB2" w:tentative="1">
      <w:start w:val="1"/>
      <w:numFmt w:val="lowerLetter"/>
      <w:lvlText w:val="%2."/>
      <w:lvlJc w:val="left"/>
      <w:pPr>
        <w:ind w:left="1440" w:hanging="360"/>
      </w:pPr>
    </w:lvl>
    <w:lvl w:ilvl="2" w:tplc="67F6E498" w:tentative="1">
      <w:start w:val="1"/>
      <w:numFmt w:val="lowerRoman"/>
      <w:lvlText w:val="%3."/>
      <w:lvlJc w:val="right"/>
      <w:pPr>
        <w:ind w:left="2160" w:hanging="180"/>
      </w:pPr>
    </w:lvl>
    <w:lvl w:ilvl="3" w:tplc="3D16CFBE" w:tentative="1">
      <w:start w:val="1"/>
      <w:numFmt w:val="decimal"/>
      <w:lvlText w:val="%4."/>
      <w:lvlJc w:val="left"/>
      <w:pPr>
        <w:ind w:left="2880" w:hanging="360"/>
      </w:pPr>
    </w:lvl>
    <w:lvl w:ilvl="4" w:tplc="57D894E2" w:tentative="1">
      <w:start w:val="1"/>
      <w:numFmt w:val="lowerLetter"/>
      <w:lvlText w:val="%5."/>
      <w:lvlJc w:val="left"/>
      <w:pPr>
        <w:ind w:left="3600" w:hanging="360"/>
      </w:pPr>
    </w:lvl>
    <w:lvl w:ilvl="5" w:tplc="0AF0F6BC" w:tentative="1">
      <w:start w:val="1"/>
      <w:numFmt w:val="lowerRoman"/>
      <w:lvlText w:val="%6."/>
      <w:lvlJc w:val="right"/>
      <w:pPr>
        <w:ind w:left="4320" w:hanging="180"/>
      </w:pPr>
    </w:lvl>
    <w:lvl w:ilvl="6" w:tplc="32765B6C" w:tentative="1">
      <w:start w:val="1"/>
      <w:numFmt w:val="decimal"/>
      <w:lvlText w:val="%7."/>
      <w:lvlJc w:val="left"/>
      <w:pPr>
        <w:ind w:left="5040" w:hanging="360"/>
      </w:pPr>
    </w:lvl>
    <w:lvl w:ilvl="7" w:tplc="99B085BE" w:tentative="1">
      <w:start w:val="1"/>
      <w:numFmt w:val="lowerLetter"/>
      <w:lvlText w:val="%8."/>
      <w:lvlJc w:val="left"/>
      <w:pPr>
        <w:ind w:left="5760" w:hanging="360"/>
      </w:pPr>
    </w:lvl>
    <w:lvl w:ilvl="8" w:tplc="5D3E6D1A" w:tentative="1">
      <w:start w:val="1"/>
      <w:numFmt w:val="lowerRoman"/>
      <w:lvlText w:val="%9."/>
      <w:lvlJc w:val="right"/>
      <w:pPr>
        <w:ind w:left="6480" w:hanging="180"/>
      </w:pPr>
    </w:lvl>
  </w:abstractNum>
  <w:abstractNum w:abstractNumId="2" w15:restartNumberingAfterBreak="0">
    <w:nsid w:val="6DD833D3"/>
    <w:multiLevelType w:val="hybridMultilevel"/>
    <w:tmpl w:val="E9201F1A"/>
    <w:lvl w:ilvl="0" w:tplc="DA8E2592">
      <w:start w:val="1"/>
      <w:numFmt w:val="decimal"/>
      <w:lvlText w:val="%1."/>
      <w:lvlJc w:val="left"/>
      <w:pPr>
        <w:ind w:left="1440" w:hanging="360"/>
      </w:pPr>
    </w:lvl>
    <w:lvl w:ilvl="1" w:tplc="9A2AD64A" w:tentative="1">
      <w:start w:val="1"/>
      <w:numFmt w:val="lowerLetter"/>
      <w:lvlText w:val="%2."/>
      <w:lvlJc w:val="left"/>
      <w:pPr>
        <w:ind w:left="2160" w:hanging="360"/>
      </w:pPr>
    </w:lvl>
    <w:lvl w:ilvl="2" w:tplc="58F05B6A" w:tentative="1">
      <w:start w:val="1"/>
      <w:numFmt w:val="lowerRoman"/>
      <w:lvlText w:val="%3."/>
      <w:lvlJc w:val="right"/>
      <w:pPr>
        <w:ind w:left="2880" w:hanging="180"/>
      </w:pPr>
    </w:lvl>
    <w:lvl w:ilvl="3" w:tplc="5A92F118" w:tentative="1">
      <w:start w:val="1"/>
      <w:numFmt w:val="decimal"/>
      <w:lvlText w:val="%4."/>
      <w:lvlJc w:val="left"/>
      <w:pPr>
        <w:ind w:left="3600" w:hanging="360"/>
      </w:pPr>
    </w:lvl>
    <w:lvl w:ilvl="4" w:tplc="C8E0B604" w:tentative="1">
      <w:start w:val="1"/>
      <w:numFmt w:val="lowerLetter"/>
      <w:lvlText w:val="%5."/>
      <w:lvlJc w:val="left"/>
      <w:pPr>
        <w:ind w:left="4320" w:hanging="360"/>
      </w:pPr>
    </w:lvl>
    <w:lvl w:ilvl="5" w:tplc="38F6B0E0" w:tentative="1">
      <w:start w:val="1"/>
      <w:numFmt w:val="lowerRoman"/>
      <w:lvlText w:val="%6."/>
      <w:lvlJc w:val="right"/>
      <w:pPr>
        <w:ind w:left="5040" w:hanging="180"/>
      </w:pPr>
    </w:lvl>
    <w:lvl w:ilvl="6" w:tplc="208E3160" w:tentative="1">
      <w:start w:val="1"/>
      <w:numFmt w:val="decimal"/>
      <w:lvlText w:val="%7."/>
      <w:lvlJc w:val="left"/>
      <w:pPr>
        <w:ind w:left="5760" w:hanging="360"/>
      </w:pPr>
    </w:lvl>
    <w:lvl w:ilvl="7" w:tplc="ABA09ED8" w:tentative="1">
      <w:start w:val="1"/>
      <w:numFmt w:val="lowerLetter"/>
      <w:lvlText w:val="%8."/>
      <w:lvlJc w:val="left"/>
      <w:pPr>
        <w:ind w:left="6480" w:hanging="360"/>
      </w:pPr>
    </w:lvl>
    <w:lvl w:ilvl="8" w:tplc="3028F458"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2C"/>
    <w:rsid w:val="00001C2C"/>
    <w:rsid w:val="00C429C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032FF-5B22-491E-9ACD-55CC5ADC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B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4"/>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sz w:val="24"/>
      <w:szCs w:val="22"/>
      <w:lang w:val="fr-BE" w:eastAsia="en-US"/>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sz w:val="24"/>
      <w:szCs w:val="22"/>
      <w:lang w:val="fr-BE" w:eastAsia="en-US"/>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2359">
      <w:bodyDiv w:val="1"/>
      <w:marLeft w:val="0"/>
      <w:marRight w:val="0"/>
      <w:marTop w:val="0"/>
      <w:marBottom w:val="0"/>
      <w:divBdr>
        <w:top w:val="none" w:sz="0" w:space="0" w:color="auto"/>
        <w:left w:val="none" w:sz="0" w:space="0" w:color="auto"/>
        <w:bottom w:val="none" w:sz="0" w:space="0" w:color="auto"/>
        <w:right w:val="none" w:sz="0" w:space="0" w:color="auto"/>
      </w:divBdr>
    </w:div>
    <w:div w:id="15646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2665</Characters>
  <Application>Microsoft Office Word</Application>
  <DocSecurity>4</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Participatiefonds - Fonds de participation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asgb</dc:creator>
  <cp:lastModifiedBy>Cécile Michiels</cp:lastModifiedBy>
  <cp:revision>2</cp:revision>
  <dcterms:created xsi:type="dcterms:W3CDTF">2019-09-05T11:52:00Z</dcterms:created>
  <dcterms:modified xsi:type="dcterms:W3CDTF">2019-09-05T11:52:00Z</dcterms:modified>
</cp:coreProperties>
</file>